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0E63" w14:textId="77777777" w:rsidR="00F901DF" w:rsidRPr="00F901DF" w:rsidRDefault="00F901DF" w:rsidP="00F901D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F901DF">
        <w:rPr>
          <w:rFonts w:ascii="Lato" w:eastAsia="Times New Roman" w:hAnsi="Lato" w:cs="Times New Roman"/>
          <w:color w:val="CC3300"/>
          <w:kern w:val="36"/>
          <w:sz w:val="36"/>
          <w:szCs w:val="36"/>
          <w:lang w:eastAsia="fr-BE"/>
          <w14:ligatures w14:val="none"/>
        </w:rPr>
        <w:t>En Chine, les fonderies de cuivre se mettent au repos, faute de concentrés</w:t>
      </w:r>
    </w:p>
    <w:p w14:paraId="093B9D82" w14:textId="77777777" w:rsidR="00F901DF" w:rsidRDefault="00F901DF" w:rsidP="00F901DF">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2C8D924" w14:textId="385AAA14"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b/>
          <w:bCs/>
          <w:color w:val="000000"/>
          <w:kern w:val="0"/>
          <w:sz w:val="23"/>
          <w:szCs w:val="23"/>
          <w:lang w:eastAsia="fr-BE"/>
          <w14:ligatures w14:val="none"/>
        </w:rPr>
        <w:t>Faute d’approvisionnement suffisant, des fonderies chinoises de premier plan ont placé, ce mois-ci, leurs outils de production en maintenance, afin de limiter la pression sur leurs marges. Les fonderies chinoises perdent actuellement entre 1.000 et 2.000 yuans par tonne (127-254 €/t) de cuivre affiné.</w:t>
      </w:r>
    </w:p>
    <w:p w14:paraId="3E3EFAE4"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 </w:t>
      </w:r>
    </w:p>
    <w:p w14:paraId="112BDB3E"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Ces mesures, qui interviennent à une période où la demande est traditionnellement forte, témoignent des tensions sévères sur les approvisionnements en concentrés, aggravées par la surcapacité des fonderies. Généralement, la demande s’accélère en mars, après le Nouvel an chinois. Les périodes de maintenance ont habituellement lieu en avril ou mai.</w:t>
      </w:r>
    </w:p>
    <w:p w14:paraId="5A8687E7"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La concurrence pour l’accès aux concentrés a fait plonger les frais de traitement et d’affinage : depuis décembre 2024, ils évoluent en territoire négatif. Le 7 mars, ils ont chuté à un creux historique, à -26,5 $/t.</w:t>
      </w:r>
    </w:p>
    <w:p w14:paraId="76189377"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 xml:space="preserve">Près de 980.000 tonnes de capacités de fonderie ont été placées en maintenance, soit 8% des capacités chinoises de 2024, indique </w:t>
      </w:r>
      <w:proofErr w:type="spellStart"/>
      <w:r w:rsidRPr="00F901DF">
        <w:rPr>
          <w:rFonts w:ascii="Lato" w:eastAsia="Times New Roman" w:hAnsi="Lato" w:cs="Times New Roman"/>
          <w:color w:val="000000"/>
          <w:kern w:val="0"/>
          <w:sz w:val="23"/>
          <w:szCs w:val="23"/>
          <w:lang w:eastAsia="fr-BE"/>
          <w14:ligatures w14:val="none"/>
        </w:rPr>
        <w:t>Hongyuan</w:t>
      </w:r>
      <w:proofErr w:type="spellEnd"/>
      <w:r w:rsidRPr="00F901DF">
        <w:rPr>
          <w:rFonts w:ascii="Lato" w:eastAsia="Times New Roman" w:hAnsi="Lato" w:cs="Times New Roman"/>
          <w:color w:val="000000"/>
          <w:kern w:val="0"/>
          <w:sz w:val="23"/>
          <w:szCs w:val="23"/>
          <w:lang w:eastAsia="fr-BE"/>
          <w14:ligatures w14:val="none"/>
        </w:rPr>
        <w:t xml:space="preserve"> Futures, dans une note. </w:t>
      </w:r>
      <w:r w:rsidRPr="00F901DF">
        <w:rPr>
          <w:rFonts w:ascii="Lato" w:eastAsia="Times New Roman" w:hAnsi="Lato" w:cs="Times New Roman"/>
          <w:b/>
          <w:bCs/>
          <w:color w:val="000000"/>
          <w:kern w:val="0"/>
          <w:sz w:val="23"/>
          <w:szCs w:val="23"/>
          <w:lang w:eastAsia="fr-BE"/>
          <w14:ligatures w14:val="none"/>
        </w:rPr>
        <w:t xml:space="preserve">Tongling </w:t>
      </w:r>
      <w:proofErr w:type="spellStart"/>
      <w:r w:rsidRPr="00F901DF">
        <w:rPr>
          <w:rFonts w:ascii="Lato" w:eastAsia="Times New Roman" w:hAnsi="Lato" w:cs="Times New Roman"/>
          <w:b/>
          <w:bCs/>
          <w:color w:val="000000"/>
          <w:kern w:val="0"/>
          <w:sz w:val="23"/>
          <w:szCs w:val="23"/>
          <w:lang w:eastAsia="fr-BE"/>
          <w14:ligatures w14:val="none"/>
        </w:rPr>
        <w:t>Nonferrous</w:t>
      </w:r>
      <w:proofErr w:type="spellEnd"/>
      <w:r w:rsidRPr="00F901DF">
        <w:rPr>
          <w:rFonts w:ascii="Lato" w:eastAsia="Times New Roman" w:hAnsi="Lato" w:cs="Times New Roman"/>
          <w:b/>
          <w:bCs/>
          <w:color w:val="000000"/>
          <w:kern w:val="0"/>
          <w:sz w:val="23"/>
          <w:szCs w:val="23"/>
          <w:lang w:eastAsia="fr-BE"/>
          <w14:ligatures w14:val="none"/>
        </w:rPr>
        <w:t xml:space="preserve"> </w:t>
      </w:r>
      <w:proofErr w:type="spellStart"/>
      <w:r w:rsidRPr="00F901DF">
        <w:rPr>
          <w:rFonts w:ascii="Lato" w:eastAsia="Times New Roman" w:hAnsi="Lato" w:cs="Times New Roman"/>
          <w:b/>
          <w:bCs/>
          <w:color w:val="000000"/>
          <w:kern w:val="0"/>
          <w:sz w:val="23"/>
          <w:szCs w:val="23"/>
          <w:lang w:eastAsia="fr-BE"/>
          <w14:ligatures w14:val="none"/>
        </w:rPr>
        <w:t>Metals</w:t>
      </w:r>
      <w:proofErr w:type="spellEnd"/>
      <w:r w:rsidRPr="00F901DF">
        <w:rPr>
          <w:rFonts w:ascii="Lato" w:eastAsia="Times New Roman" w:hAnsi="Lato" w:cs="Times New Roman"/>
          <w:b/>
          <w:bCs/>
          <w:color w:val="000000"/>
          <w:kern w:val="0"/>
          <w:sz w:val="23"/>
          <w:szCs w:val="23"/>
          <w:lang w:eastAsia="fr-BE"/>
          <w14:ligatures w14:val="none"/>
        </w:rPr>
        <w:t xml:space="preserve"> Group</w:t>
      </w:r>
      <w:r w:rsidRPr="00F901DF">
        <w:rPr>
          <w:rFonts w:ascii="Lato" w:eastAsia="Times New Roman" w:hAnsi="Lato" w:cs="Times New Roman"/>
          <w:color w:val="000000"/>
          <w:kern w:val="0"/>
          <w:sz w:val="23"/>
          <w:szCs w:val="23"/>
          <w:lang w:eastAsia="fr-BE"/>
          <w14:ligatures w14:val="none"/>
        </w:rPr>
        <w:t> - 13,5 % de la production chinoise de cuivre affiné en 2023 - a placé certaines installations en maintenance, durant un mois, selon deux sources.</w:t>
      </w:r>
    </w:p>
    <w:p w14:paraId="27DE214F"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Les réductions de production pourraient avoir une incidence significative dans le pays, où de nombreuses fonderies contribuent à l’économie régionale. Mais, comme dans de nombreux secteurs d’industrie, de l'acier au raffinage du pétrole, le cuivre pâtit d’une surcapacité, qui pousse les opérateurs à se disputer les parts de marché.</w:t>
      </w:r>
    </w:p>
    <w:p w14:paraId="0FB0AEE4"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 xml:space="preserve">Les acteurs du marché chinois attendent avec impatience la réunion trimestrielle de la China </w:t>
      </w:r>
      <w:proofErr w:type="spellStart"/>
      <w:r w:rsidRPr="00F901DF">
        <w:rPr>
          <w:rFonts w:ascii="Lato" w:eastAsia="Times New Roman" w:hAnsi="Lato" w:cs="Times New Roman"/>
          <w:color w:val="000000"/>
          <w:kern w:val="0"/>
          <w:sz w:val="23"/>
          <w:szCs w:val="23"/>
          <w:lang w:eastAsia="fr-BE"/>
          <w14:ligatures w14:val="none"/>
        </w:rPr>
        <w:t>Smelters</w:t>
      </w:r>
      <w:proofErr w:type="spellEnd"/>
      <w:r w:rsidRPr="00F901DF">
        <w:rPr>
          <w:rFonts w:ascii="Lato" w:eastAsia="Times New Roman" w:hAnsi="Lato" w:cs="Times New Roman"/>
          <w:color w:val="000000"/>
          <w:kern w:val="0"/>
          <w:sz w:val="23"/>
          <w:szCs w:val="23"/>
          <w:lang w:eastAsia="fr-BE"/>
          <w14:ligatures w14:val="none"/>
        </w:rPr>
        <w:t xml:space="preserve"> </w:t>
      </w:r>
      <w:proofErr w:type="spellStart"/>
      <w:r w:rsidRPr="00F901DF">
        <w:rPr>
          <w:rFonts w:ascii="Lato" w:eastAsia="Times New Roman" w:hAnsi="Lato" w:cs="Times New Roman"/>
          <w:color w:val="000000"/>
          <w:kern w:val="0"/>
          <w:sz w:val="23"/>
          <w:szCs w:val="23"/>
          <w:lang w:eastAsia="fr-BE"/>
          <w14:ligatures w14:val="none"/>
        </w:rPr>
        <w:t>Purchase</w:t>
      </w:r>
      <w:proofErr w:type="spellEnd"/>
      <w:r w:rsidRPr="00F901DF">
        <w:rPr>
          <w:rFonts w:ascii="Lato" w:eastAsia="Times New Roman" w:hAnsi="Lato" w:cs="Times New Roman"/>
          <w:color w:val="000000"/>
          <w:kern w:val="0"/>
          <w:sz w:val="23"/>
          <w:szCs w:val="23"/>
          <w:lang w:eastAsia="fr-BE"/>
          <w14:ligatures w14:val="none"/>
        </w:rPr>
        <w:t xml:space="preserve"> Team (CSPT), le 31 mars, au cours de laquelle des mesures, incluant des réductions de capacités pourraient être envisagées. </w:t>
      </w:r>
      <w:r w:rsidRPr="00F901DF">
        <w:rPr>
          <w:rFonts w:ascii="Lato" w:eastAsia="Times New Roman" w:hAnsi="Lato" w:cs="Times New Roman"/>
          <w:i/>
          <w:iCs/>
          <w:color w:val="000000"/>
          <w:kern w:val="0"/>
          <w:sz w:val="23"/>
          <w:szCs w:val="23"/>
          <w:lang w:eastAsia="fr-BE"/>
          <w14:ligatures w14:val="none"/>
        </w:rPr>
        <w:t>« Le risque de réduction de production à grande échelle est réel </w:t>
      </w:r>
      <w:r w:rsidRPr="00F901DF">
        <w:rPr>
          <w:rFonts w:ascii="Lato" w:eastAsia="Times New Roman" w:hAnsi="Lato" w:cs="Times New Roman"/>
          <w:color w:val="000000"/>
          <w:kern w:val="0"/>
          <w:sz w:val="23"/>
          <w:szCs w:val="23"/>
          <w:lang w:eastAsia="fr-BE"/>
          <w14:ligatures w14:val="none"/>
        </w:rPr>
        <w:t xml:space="preserve">», a estimé Patricia </w:t>
      </w:r>
      <w:proofErr w:type="spellStart"/>
      <w:r w:rsidRPr="00F901DF">
        <w:rPr>
          <w:rFonts w:ascii="Lato" w:eastAsia="Times New Roman" w:hAnsi="Lato" w:cs="Times New Roman"/>
          <w:color w:val="000000"/>
          <w:kern w:val="0"/>
          <w:sz w:val="23"/>
          <w:szCs w:val="23"/>
          <w:lang w:eastAsia="fr-BE"/>
          <w14:ligatures w14:val="none"/>
        </w:rPr>
        <w:t>Barreto</w:t>
      </w:r>
      <w:proofErr w:type="spellEnd"/>
      <w:r w:rsidRPr="00F901DF">
        <w:rPr>
          <w:rFonts w:ascii="Lato" w:eastAsia="Times New Roman" w:hAnsi="Lato" w:cs="Times New Roman"/>
          <w:color w:val="000000"/>
          <w:kern w:val="0"/>
          <w:sz w:val="23"/>
          <w:szCs w:val="23"/>
          <w:lang w:eastAsia="fr-BE"/>
          <w14:ligatures w14:val="none"/>
        </w:rPr>
        <w:t xml:space="preserve">, analyste pour S&amp;P Global </w:t>
      </w:r>
      <w:proofErr w:type="spellStart"/>
      <w:r w:rsidRPr="00F901DF">
        <w:rPr>
          <w:rFonts w:ascii="Lato" w:eastAsia="Times New Roman" w:hAnsi="Lato" w:cs="Times New Roman"/>
          <w:color w:val="000000"/>
          <w:kern w:val="0"/>
          <w:sz w:val="23"/>
          <w:szCs w:val="23"/>
          <w:lang w:eastAsia="fr-BE"/>
          <w14:ligatures w14:val="none"/>
        </w:rPr>
        <w:t>Commodity</w:t>
      </w:r>
      <w:proofErr w:type="spellEnd"/>
      <w:r w:rsidRPr="00F901DF">
        <w:rPr>
          <w:rFonts w:ascii="Lato" w:eastAsia="Times New Roman" w:hAnsi="Lato" w:cs="Times New Roman"/>
          <w:color w:val="000000"/>
          <w:kern w:val="0"/>
          <w:sz w:val="23"/>
          <w:szCs w:val="23"/>
          <w:lang w:eastAsia="fr-BE"/>
          <w14:ligatures w14:val="none"/>
        </w:rPr>
        <w:t xml:space="preserve"> Insights, ce qui conduirait la Chine à importer davantage.</w:t>
      </w:r>
    </w:p>
    <w:p w14:paraId="0832167B"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 xml:space="preserve">L'offre en concentrés est tendue depuis fin 2023, </w:t>
      </w:r>
      <w:proofErr w:type="gramStart"/>
      <w:r w:rsidRPr="00F901DF">
        <w:rPr>
          <w:rFonts w:ascii="Lato" w:eastAsia="Times New Roman" w:hAnsi="Lato" w:cs="Times New Roman"/>
          <w:color w:val="000000"/>
          <w:kern w:val="0"/>
          <w:sz w:val="23"/>
          <w:szCs w:val="23"/>
          <w:lang w:eastAsia="fr-BE"/>
          <w14:ligatures w14:val="none"/>
        </w:rPr>
        <w:t>suite à des</w:t>
      </w:r>
      <w:proofErr w:type="gramEnd"/>
      <w:r w:rsidRPr="00F901DF">
        <w:rPr>
          <w:rFonts w:ascii="Lato" w:eastAsia="Times New Roman" w:hAnsi="Lato" w:cs="Times New Roman"/>
          <w:color w:val="000000"/>
          <w:kern w:val="0"/>
          <w:sz w:val="23"/>
          <w:szCs w:val="23"/>
          <w:lang w:eastAsia="fr-BE"/>
          <w14:ligatures w14:val="none"/>
        </w:rPr>
        <w:t xml:space="preserve"> perturbations dans les principales mines, notamment celle de </w:t>
      </w:r>
      <w:proofErr w:type="spellStart"/>
      <w:r w:rsidRPr="00F901DF">
        <w:rPr>
          <w:rFonts w:ascii="Lato" w:eastAsia="Times New Roman" w:hAnsi="Lato" w:cs="Times New Roman"/>
          <w:color w:val="000000"/>
          <w:kern w:val="0"/>
          <w:sz w:val="23"/>
          <w:szCs w:val="23"/>
          <w:lang w:eastAsia="fr-BE"/>
          <w14:ligatures w14:val="none"/>
        </w:rPr>
        <w:t>Cobre</w:t>
      </w:r>
      <w:proofErr w:type="spellEnd"/>
      <w:r w:rsidRPr="00F901DF">
        <w:rPr>
          <w:rFonts w:ascii="Lato" w:eastAsia="Times New Roman" w:hAnsi="Lato" w:cs="Times New Roman"/>
          <w:color w:val="000000"/>
          <w:kern w:val="0"/>
          <w:sz w:val="23"/>
          <w:szCs w:val="23"/>
          <w:lang w:eastAsia="fr-BE"/>
          <w14:ligatures w14:val="none"/>
        </w:rPr>
        <w:t xml:space="preserve"> Panama, opérée par </w:t>
      </w:r>
      <w:r w:rsidRPr="00F901DF">
        <w:rPr>
          <w:rFonts w:ascii="Lato" w:eastAsia="Times New Roman" w:hAnsi="Lato" w:cs="Times New Roman"/>
          <w:b/>
          <w:bCs/>
          <w:color w:val="000000"/>
          <w:kern w:val="0"/>
          <w:sz w:val="23"/>
          <w:szCs w:val="23"/>
          <w:lang w:eastAsia="fr-BE"/>
          <w14:ligatures w14:val="none"/>
        </w:rPr>
        <w:t>First Quantum</w:t>
      </w:r>
      <w:r w:rsidRPr="00F901DF">
        <w:rPr>
          <w:rFonts w:ascii="Lato" w:eastAsia="Times New Roman" w:hAnsi="Lato" w:cs="Times New Roman"/>
          <w:color w:val="000000"/>
          <w:kern w:val="0"/>
          <w:sz w:val="23"/>
          <w:szCs w:val="23"/>
          <w:lang w:eastAsia="fr-BE"/>
          <w14:ligatures w14:val="none"/>
        </w:rPr>
        <w:t>, au Panama, et à l'expansion des capacités de fonderie. Les tensions sur l’offre en concentrés sont, en outre, accentuées par l’accroissement des capacités de fonderie, qui intensifie la demande sur le marché international.</w:t>
      </w:r>
    </w:p>
    <w:p w14:paraId="04952243" w14:textId="77777777" w:rsidR="00F901DF" w:rsidRPr="00F901DF" w:rsidRDefault="00F901DF" w:rsidP="00F901D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901DF">
        <w:rPr>
          <w:rFonts w:ascii="Lato" w:eastAsia="Times New Roman" w:hAnsi="Lato" w:cs="Times New Roman"/>
          <w:color w:val="000000"/>
          <w:kern w:val="0"/>
          <w:sz w:val="23"/>
          <w:szCs w:val="23"/>
          <w:lang w:eastAsia="fr-BE"/>
          <w14:ligatures w14:val="none"/>
        </w:rPr>
        <w:t>Les analystes d'</w:t>
      </w:r>
      <w:proofErr w:type="spellStart"/>
      <w:r w:rsidRPr="00F901DF">
        <w:rPr>
          <w:rFonts w:ascii="Lato" w:eastAsia="Times New Roman" w:hAnsi="Lato" w:cs="Times New Roman"/>
          <w:color w:val="000000"/>
          <w:kern w:val="0"/>
          <w:sz w:val="23"/>
          <w:szCs w:val="23"/>
          <w:lang w:eastAsia="fr-BE"/>
          <w14:ligatures w14:val="none"/>
        </w:rPr>
        <w:t>Antaike</w:t>
      </w:r>
      <w:proofErr w:type="spellEnd"/>
      <w:r w:rsidRPr="00F901DF">
        <w:rPr>
          <w:rFonts w:ascii="Lato" w:eastAsia="Times New Roman" w:hAnsi="Lato" w:cs="Times New Roman"/>
          <w:color w:val="000000"/>
          <w:kern w:val="0"/>
          <w:sz w:val="23"/>
          <w:szCs w:val="23"/>
          <w:lang w:eastAsia="fr-BE"/>
          <w14:ligatures w14:val="none"/>
        </w:rPr>
        <w:t xml:space="preserve"> ont revu à la baisse leur prévision de croissance de la production de concentrés pour cette année, compte tenu de la baisse anticipée des capacités minières, selon une note émanant de Citi. Certaines fonderies fonctionnent à perte, et pas uniquement en Chine. Celle de </w:t>
      </w:r>
      <w:proofErr w:type="spellStart"/>
      <w:r w:rsidRPr="00F901DF">
        <w:rPr>
          <w:rFonts w:ascii="Lato" w:eastAsia="Times New Roman" w:hAnsi="Lato" w:cs="Times New Roman"/>
          <w:color w:val="000000"/>
          <w:kern w:val="0"/>
          <w:sz w:val="23"/>
          <w:szCs w:val="23"/>
          <w:lang w:eastAsia="fr-BE"/>
          <w14:ligatures w14:val="none"/>
        </w:rPr>
        <w:t>Pasar</w:t>
      </w:r>
      <w:proofErr w:type="spellEnd"/>
      <w:r w:rsidRPr="00F901DF">
        <w:rPr>
          <w:rFonts w:ascii="Lato" w:eastAsia="Times New Roman" w:hAnsi="Lato" w:cs="Times New Roman"/>
          <w:color w:val="000000"/>
          <w:kern w:val="0"/>
          <w:sz w:val="23"/>
          <w:szCs w:val="23"/>
          <w:lang w:eastAsia="fr-BE"/>
          <w14:ligatures w14:val="none"/>
        </w:rPr>
        <w:t>, détenue par </w:t>
      </w:r>
      <w:proofErr w:type="spellStart"/>
      <w:r w:rsidRPr="00F901DF">
        <w:rPr>
          <w:rFonts w:ascii="Lato" w:eastAsia="Times New Roman" w:hAnsi="Lato" w:cs="Times New Roman"/>
          <w:b/>
          <w:bCs/>
          <w:color w:val="000000"/>
          <w:kern w:val="0"/>
          <w:sz w:val="23"/>
          <w:szCs w:val="23"/>
          <w:lang w:eastAsia="fr-BE"/>
          <w14:ligatures w14:val="none"/>
        </w:rPr>
        <w:t>Glencore</w:t>
      </w:r>
      <w:proofErr w:type="spellEnd"/>
      <w:r w:rsidRPr="00F901DF">
        <w:rPr>
          <w:rFonts w:ascii="Lato" w:eastAsia="Times New Roman" w:hAnsi="Lato" w:cs="Times New Roman"/>
          <w:color w:val="000000"/>
          <w:kern w:val="0"/>
          <w:sz w:val="23"/>
          <w:szCs w:val="23"/>
          <w:lang w:eastAsia="fr-BE"/>
          <w14:ligatures w14:val="none"/>
        </w:rPr>
        <w:t>, aux Philippines, a été placée en maintenance, en février. Les fonderies japonaises, qui se préparent également à des turbulences, pourraient faire meilleure figure, car elles sont plus diversifiées que les fonderies chinoises et disposent de contrats d'approvisionnement à long terme.</w:t>
      </w:r>
    </w:p>
    <w:p w14:paraId="18C9C384"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DF"/>
    <w:rsid w:val="00287462"/>
    <w:rsid w:val="009607BA"/>
    <w:rsid w:val="00F901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1320"/>
  <w15:chartTrackingRefBased/>
  <w15:docId w15:val="{ED84F834-1B2C-4077-A689-1C486222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0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0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01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01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01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01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01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01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01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01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01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01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01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01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01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01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01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01DF"/>
    <w:rPr>
      <w:rFonts w:eastAsiaTheme="majorEastAsia" w:cstheme="majorBidi"/>
      <w:color w:val="272727" w:themeColor="text1" w:themeTint="D8"/>
    </w:rPr>
  </w:style>
  <w:style w:type="paragraph" w:styleId="Titre">
    <w:name w:val="Title"/>
    <w:basedOn w:val="Normal"/>
    <w:next w:val="Normal"/>
    <w:link w:val="TitreCar"/>
    <w:uiPriority w:val="10"/>
    <w:qFormat/>
    <w:rsid w:val="00F90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01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01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01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01DF"/>
    <w:pPr>
      <w:spacing w:before="160"/>
      <w:jc w:val="center"/>
    </w:pPr>
    <w:rPr>
      <w:i/>
      <w:iCs/>
      <w:color w:val="404040" w:themeColor="text1" w:themeTint="BF"/>
    </w:rPr>
  </w:style>
  <w:style w:type="character" w:customStyle="1" w:styleId="CitationCar">
    <w:name w:val="Citation Car"/>
    <w:basedOn w:val="Policepardfaut"/>
    <w:link w:val="Citation"/>
    <w:uiPriority w:val="29"/>
    <w:rsid w:val="00F901DF"/>
    <w:rPr>
      <w:i/>
      <w:iCs/>
      <w:color w:val="404040" w:themeColor="text1" w:themeTint="BF"/>
    </w:rPr>
  </w:style>
  <w:style w:type="paragraph" w:styleId="Paragraphedeliste">
    <w:name w:val="List Paragraph"/>
    <w:basedOn w:val="Normal"/>
    <w:uiPriority w:val="34"/>
    <w:qFormat/>
    <w:rsid w:val="00F901DF"/>
    <w:pPr>
      <w:ind w:left="720"/>
      <w:contextualSpacing/>
    </w:pPr>
  </w:style>
  <w:style w:type="character" w:styleId="Accentuationintense">
    <w:name w:val="Intense Emphasis"/>
    <w:basedOn w:val="Policepardfaut"/>
    <w:uiPriority w:val="21"/>
    <w:qFormat/>
    <w:rsid w:val="00F901DF"/>
    <w:rPr>
      <w:i/>
      <w:iCs/>
      <w:color w:val="0F4761" w:themeColor="accent1" w:themeShade="BF"/>
    </w:rPr>
  </w:style>
  <w:style w:type="paragraph" w:styleId="Citationintense">
    <w:name w:val="Intense Quote"/>
    <w:basedOn w:val="Normal"/>
    <w:next w:val="Normal"/>
    <w:link w:val="CitationintenseCar"/>
    <w:uiPriority w:val="30"/>
    <w:qFormat/>
    <w:rsid w:val="00F90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01DF"/>
    <w:rPr>
      <w:i/>
      <w:iCs/>
      <w:color w:val="0F4761" w:themeColor="accent1" w:themeShade="BF"/>
    </w:rPr>
  </w:style>
  <w:style w:type="character" w:styleId="Rfrenceintense">
    <w:name w:val="Intense Reference"/>
    <w:basedOn w:val="Policepardfaut"/>
    <w:uiPriority w:val="32"/>
    <w:qFormat/>
    <w:rsid w:val="00F90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4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2573</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2025-03-31T07:41:00Z</dcterms:created>
  <dcterms:modified xsi:type="dcterms:W3CDTF">2025-03-31T07:42:00Z</dcterms:modified>
</cp:coreProperties>
</file>